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Reading Level Conversion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Each row lines up the ranges six readability measures give texts in the same Common Core grade band. Find a book's measure in its column, then read across to the band and the other measures.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92"/>
        <w:gridCol w:w="1993"/>
        <w:gridCol w:w="2093"/>
        <w:gridCol w:w="1595"/>
        <w:gridCol w:w="1993"/>
        <w:gridCol w:w="2093"/>
        <w:gridCol w:w="1993"/>
      </w:tblGrid>
      <w:tr>
        <w:trPr>
          <w:cantSplit/>
          <w:trHeight w:val="390" w:hRule="exact"/>
        </w:trPr>
        <w:tc>
          <w:tcPr>
            <w:tcW w:type="dxa" w:w="249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Grade Band</w:t>
            </w:r>
          </w:p>
        </w:tc>
        <w:tc>
          <w:tcPr>
            <w:tcW w:type="dxa" w:w="199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ATOS</w:t>
            </w:r>
          </w:p>
        </w:tc>
        <w:tc>
          <w:tcPr>
            <w:tcW w:type="dxa" w:w="209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Lexile</w:t>
            </w:r>
          </w:p>
        </w:tc>
        <w:tc>
          <w:tcPr>
            <w:tcW w:type="dxa" w:w="1595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DRP</w:t>
            </w:r>
          </w:p>
        </w:tc>
        <w:tc>
          <w:tcPr>
            <w:tcW w:type="dxa" w:w="199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Flesch-Kincaid</w:t>
            </w:r>
          </w:p>
        </w:tc>
        <w:tc>
          <w:tcPr>
            <w:tcW w:type="dxa" w:w="209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Reading Maturity</w:t>
            </w:r>
          </w:p>
        </w:tc>
        <w:tc>
          <w:tcPr>
            <w:tcW w:type="dxa" w:w="199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SourceRater</w:t>
            </w:r>
          </w:p>
        </w:tc>
      </w:tr>
      <w:tr>
        <w:trPr>
          <w:cantSplit/>
          <w:trHeight w:val="660" w:hRule="exact"/>
        </w:trPr>
        <w:tc>
          <w:tcPr>
            <w:tcW w:type="dxa" w:w="249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Grades 2 and 3</w:t>
            </w:r>
          </w:p>
        </w:tc>
        <w:tc>
          <w:tcPr>
            <w:tcW w:type="dxa" w:w="199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2.75–5.14</w:t>
            </w:r>
          </w:p>
        </w:tc>
        <w:tc>
          <w:tcPr>
            <w:tcW w:type="dxa" w:w="209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420L–820L</w:t>
            </w:r>
          </w:p>
        </w:tc>
        <w:tc>
          <w:tcPr>
            <w:tcW w:type="dxa" w:w="159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42–54</w:t>
            </w:r>
          </w:p>
        </w:tc>
        <w:tc>
          <w:tcPr>
            <w:tcW w:type="dxa" w:w="199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1.98–5.34</w:t>
            </w:r>
          </w:p>
        </w:tc>
        <w:tc>
          <w:tcPr>
            <w:tcW w:type="dxa" w:w="209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3.53–6.13</w:t>
            </w:r>
          </w:p>
        </w:tc>
        <w:tc>
          <w:tcPr>
            <w:tcW w:type="dxa" w:w="199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0.05–2.48</w:t>
            </w:r>
          </w:p>
        </w:tc>
      </w:tr>
      <w:tr>
        <w:trPr>
          <w:cantSplit/>
          <w:trHeight w:val="645" w:hRule="exact"/>
        </w:trPr>
        <w:tc>
          <w:tcPr>
            <w:tcW w:type="dxa" w:w="249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Grades 4 and 5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4.97–7.03</w:t>
            </w:r>
          </w:p>
        </w:tc>
        <w:tc>
          <w:tcPr>
            <w:tcW w:type="dxa" w:w="20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740L–1010L</w:t>
            </w: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52–60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4.51–7.73</w:t>
            </w:r>
          </w:p>
        </w:tc>
        <w:tc>
          <w:tcPr>
            <w:tcW w:type="dxa" w:w="20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5.42–7.92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0.84–5.75</w:t>
            </w:r>
          </w:p>
        </w:tc>
      </w:tr>
      <w:tr>
        <w:trPr>
          <w:cantSplit/>
          <w:trHeight w:val="645" w:hRule="exact"/>
        </w:trPr>
        <w:tc>
          <w:tcPr>
            <w:tcW w:type="dxa" w:w="249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Grades 6 to 8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7.00–9.98</w:t>
            </w:r>
          </w:p>
        </w:tc>
        <w:tc>
          <w:tcPr>
            <w:tcW w:type="dxa" w:w="20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925L–1185L</w:t>
            </w: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57–67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6.51–10.34</w:t>
            </w:r>
          </w:p>
        </w:tc>
        <w:tc>
          <w:tcPr>
            <w:tcW w:type="dxa" w:w="20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7.04–9.57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4.11–10.66</w:t>
            </w:r>
          </w:p>
        </w:tc>
      </w:tr>
      <w:tr>
        <w:trPr>
          <w:cantSplit/>
          <w:trHeight w:val="660" w:hRule="exact"/>
        </w:trPr>
        <w:tc>
          <w:tcPr>
            <w:tcW w:type="dxa" w:w="249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Grades 9 and 10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9.67–12.01</w:t>
            </w:r>
          </w:p>
        </w:tc>
        <w:tc>
          <w:tcPr>
            <w:tcW w:type="dxa" w:w="20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1050L–1335L</w:t>
            </w: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62–72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8.32–12.12</w:t>
            </w:r>
          </w:p>
        </w:tc>
        <w:tc>
          <w:tcPr>
            <w:tcW w:type="dxa" w:w="209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8.41–10.81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9.02–13.93</w:t>
            </w:r>
          </w:p>
        </w:tc>
      </w:tr>
      <w:tr>
        <w:trPr>
          <w:cantSplit/>
          <w:trHeight w:val="645" w:hRule="exact"/>
        </w:trPr>
        <w:tc>
          <w:tcPr>
            <w:tcW w:type="dxa" w:w="249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4"/>
                <w:szCs w:val="24"/>
              </w:rPr>
              <w:t xml:space="preserve">Grades 11 and 12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11.20–14.10</w:t>
            </w:r>
          </w:p>
        </w:tc>
        <w:tc>
          <w:tcPr>
            <w:tcW w:type="dxa" w:w="209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1185L–1385L</w:t>
            </w: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67–74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10.34–14.2</w:t>
            </w:r>
          </w:p>
        </w:tc>
        <w:tc>
          <w:tcPr>
            <w:tcW w:type="dxa" w:w="209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9.57–12.00</w:t>
            </w:r>
          </w:p>
        </w:tc>
        <w:tc>
          <w:tcPr>
            <w:tcW w:type="dxa" w:w="199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12.30–14.50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18"/>
          <w:szCs w:val="18"/>
        </w:rPr>
        <w:t xml:space="preserve">Ranges from the Common Core State Standards, Supplemental Information for Appendix A (2012), Figure 1. They rate how complex a text is, not a student's score. ATOS is the readability formula behind Accelerated Reader book levels. Lexile is a registered trademark of MetaMetrics, Inc.; Degrees of Reading Power and DRP are registered trademarks of Questar Assessment, Inc.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keepNext/>
        <w:spacing w:after="0" w:before="0" w:line="230" w:lineRule="auto"/>
        <w:jc w:val="left"/>
      </w:pPr>
      <w:r>
        <w:rPr>
          <w:b/>
          <w:bCs/>
          <w:caps/>
          <w:color w:val="15171C"/>
          <w:spacing w:val="13"/>
          <w:sz w:val="15"/>
          <w:szCs w:val="15"/>
        </w:rPr>
        <w:t xml:space="preserve">Place a Text in a Grade Band</w:t>
      </w:r>
    </w:p>
    <w:p>
      <w:pPr>
        <w:pStyle w:val="Spacer"/>
        <w:spacing w:after="8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81"/>
        <w:gridCol w:w="1521"/>
        <w:gridCol w:w="1710"/>
        <w:gridCol w:w="1520"/>
        <w:gridCol w:w="3041"/>
        <w:gridCol w:w="2280"/>
      </w:tblGrid>
      <w:tr>
        <w:trPr>
          <w:cantSplit/>
          <w:trHeight w:val="390" w:hRule="exact"/>
        </w:trPr>
        <w:tc>
          <w:tcPr>
            <w:tcW w:type="dxa" w:w="4181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Book or Text</w:t>
            </w:r>
          </w:p>
        </w:tc>
        <w:tc>
          <w:tcPr>
            <w:tcW w:type="dxa" w:w="1521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ATOS</w:t>
            </w:r>
          </w:p>
        </w:tc>
        <w:tc>
          <w:tcPr>
            <w:tcW w:type="dxa" w:w="1710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Lexile</w:t>
            </w:r>
          </w:p>
        </w:tc>
        <w:tc>
          <w:tcPr>
            <w:tcW w:type="dxa" w:w="1520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DRP</w:t>
            </w:r>
          </w:p>
        </w:tc>
        <w:tc>
          <w:tcPr>
            <w:tcW w:type="dxa" w:w="3041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Other Measure</w:t>
            </w:r>
          </w:p>
        </w:tc>
        <w:tc>
          <w:tcPr>
            <w:tcW w:type="dxa" w:w="2280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Grade Band</w:t>
            </w:r>
          </w:p>
        </w:tc>
      </w:tr>
      <w:tr>
        <w:trPr>
          <w:cantSplit/>
          <w:trHeight w:val="525" w:hRule="exact"/>
        </w:trPr>
        <w:tc>
          <w:tcPr>
            <w:tcW w:type="dxa" w:w="418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1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418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1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418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1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418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1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418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1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Reading Level Conversion Chart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Level Conversion Chart</dc:title>
  <dc:subject>Reference Charts for Teachers</dc:subject>
  <dc:creator>EMStudio</dc:creator>
  <dc:description>Reading Level Conversion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