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Observation Lesson Plan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Organized by the six planning areas of Domain 1, 1a to 1f.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78"/>
        <w:gridCol w:w="2069"/>
        <w:gridCol w:w="1979"/>
        <w:gridCol w:w="1065"/>
        <w:gridCol w:w="1826"/>
        <w:gridCol w:w="304"/>
        <w:gridCol w:w="2131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1a Content and Approach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1b Knowing the Students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1c Learning Outcomes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1d Resources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27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7244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1e Lesson Sequence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Grouping</w:t>
            </w:r>
          </w:p>
        </w:tc>
      </w:tr>
      <w:tr>
        <w:trPr>
          <w:cantSplit/>
          <w:trHeight w:val="1395" w:hRule="exact"/>
        </w:trPr>
        <w:tc>
          <w:tcPr>
            <w:tcW w:type="dxa" w:w="127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44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4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4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95" w:hRule="exact"/>
        </w:trPr>
        <w:tc>
          <w:tcPr>
            <w:tcW w:type="dxa" w:w="127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44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1f Assessment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Reflection After the Lesson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Danielson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Danielson Lesson Plan Template</dc:title>
  <dc:subject>Lesson Plan Templates</dc:subject>
  <dc:creator>EMStudio</dc:creator>
  <dc:description>Danielson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