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D6E8E"/>
          <w:spacing w:val="21"/>
          <w:sz w:val="15"/>
          <w:szCs w:val="15"/>
        </w:rPr>
        <w:t xml:space="preserve">Graphic Organizers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Double Bubble Map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Write a topic in each big circle. Likenesses go in the middle bubbles, differences on the outside.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214"/>
        <w:gridCol w:w="4438"/>
      </w:tblGrid>
      <w:tr>
        <w:trPr>
          <w:cantSplit/>
          <w:trHeight w:val="645" w:hRule="exact"/>
        </w:trPr>
        <w:tc>
          <w:tcPr>
            <w:tcW w:type="dxa" w:w="621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38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6855" w:hRule="exact"/>
        </w:trPr>
        <w:tc>
          <w:tcPr>
            <w:tcW w:type="dxa" w:w="10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Spacer"/>
              <w:spacing w:after="0" w:before="0" w:line="240" w:lineRule="auto"/>
              <w:jc w:val="center"/>
              <w:rPr>
                <w:sz w:val="2"/>
                <w:szCs w:val="2"/>
              </w:rPr>
            </w:pPr>
            <w:r>
              <w:drawing>
                <wp:inline distT="0" distB="0" distL="0" distR="0">
                  <wp:extent cx="5895975" cy="434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95975" cy="434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345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CF2F5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Compare Them in a Sentence</w:t>
            </w:r>
          </w:p>
        </w:tc>
      </w:tr>
      <w:tr>
        <w:trPr>
          <w:cantSplit/>
          <w:trHeight w:val="360" w:hRule="exact"/>
        </w:trPr>
        <w:tc>
          <w:tcPr>
            <w:tcW w:type="dxa" w:w="10653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10653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10653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0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Double Bubble Map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a11eedacd8afc77453f3ce20d7a57b8f677c4024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Double Bubble Map Template</dc:title>
  <dc:subject>Graphic Organizer Templates</dc:subject>
  <dc:creator>EMStudio</dc:creator>
  <dc:description>Double Bubble Map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