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Smiley Face Behavior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Each day, color in a smiling face for every goal you met. Count your smiles on Friday.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2663"/>
        <w:gridCol w:w="888"/>
        <w:gridCol w:w="3551"/>
      </w:tblGrid>
      <w:tr>
        <w:trPr>
          <w:cantSplit/>
          <w:trHeight w:val="645" w:hRule="exact"/>
        </w:trPr>
        <w:tc>
          <w:tcPr>
            <w:tcW w:type="dxa" w:w="621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 1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 2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 3</w:t>
            </w: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4050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6467475" cy="2562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7475" cy="256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5326"/>
      </w:tblGrid>
      <w:tr>
        <w:trPr>
          <w:cantSplit/>
          <w:trHeight w:val="645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Smiles This Week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Smiles I Need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 Am Working For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 Home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Family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Smiley Face Behavior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49bea2f0e2ef0bc0b95f3dcec9d8af0be5bb20f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Smiley Face Behavior Chart</dc:title>
  <dc:subject>Behavior Chart Templates</dc:subject>
  <dc:creator>EMStudio</dc:creator>
  <dc:description>Smiley Face Behavior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